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“Утверждаю”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 xml:space="preserve">Генеральный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директор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ООО “Авиценна”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____________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Ю.Г. Дашиева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Приложение 1 к приказу от 26.07.2023 г.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№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5604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ПОЛОЖЕНИЕ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>о порядке рассмотрения обращений граждан в ООО “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ru-RU"/>
        </w:rPr>
        <w:t>Авиценна”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>1. О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бщие положения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Настоящее Положение разработано в соответствии с Конституцией Российской Федерации, Федеральным законом от 02.05.2006г. №59 - ФЗ «О порядке рассмотрения обращений граждан Российской Федерации»,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Закон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ом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РФ от 07.02.1992 N 2300-1 “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 защите прав потребителей”.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Настоящее Положение составлено в целях гарантированного обеспечения конституционных прав граждан на обращение в ООО «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Авиценна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».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Настоящее Положение определяет порядок рассмотрения, регистрации обращений граждан.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2. Основные термины, используемые в Положении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Обращение - направленн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ое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Предложение - рекомендация гражданина по совершенствованию деятельности, развитию, улучшению качества медицинской помощи;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Заявление-просьба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ООО “Авиценна”,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должностных лиц, либо критика деятельности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медицинской организации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и должностных лиц;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Должностное лицо -лицо, постоянно, временно или по специальному полномочию выполняющее организационно-распорядительные, административно- хозяйственные функции.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3. Права граждан при рассмотрении обращений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При рассмотрении обращения гражданин имеет право: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3.1. Представлять дополнительные документы и материалы, либо обращаться с просьбой об их истребовании, в том числе в электронной форме;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3.2.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содержаться сведения, составляющие государственную или иную охраняемую федеральным законом тайну.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3.3. Получать письменный ответ по существу поставленных в обращении вопросов, за исключением случаев, указанных в статье 11 Федерального закона №59-ФЗ «О порядке рассмотрения обращений граждан Российской Федерации», уведомление о переадресации письменного обращения в организацию, в компетенцию которой входит решение поставленных в обращении вопросов.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3.4. Обращаться в ООО «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Авиценна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» с жалобой на принятое решение или действие (бездействие) сотрудников по обращению гражданина.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3.5. Обращаться с заявлением о прекращении рассмотрения обращения.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4. Гарантии безопасности гражданина в связи с его обращением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4.1. Запрещается преследование гражданина в связи с его обращением в ООО «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Авиценна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» или к должностному лицу с критикой деятельности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>5. Требования к письменному обращению граждан.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5.1. Гражданин в своем письменном обращении в обязательном порядке указывает наименование организации или должностное лицо, которому направляется обращение, свои фамилию, имя, отчество, почтовый адрес,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 xml:space="preserve">либо элктронную почту,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 котор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ым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должен быть направлен ответ, излагает суть обращения, ставит личную подпись и дату.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5.2. В случае необходимости гражданин прилагает к письменному обращению необходимые для рассмотрения документы и материалы, либо их копии.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5.3. Обращение, поступившее по информационным системам общего пользования, подлежит рассмотрению в порядке, установленном для письменных обращений.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6. Порядок регистрации и рассмотрения обращений граждан.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6.1. Все обращения граждан подлежат обязательной регистрации в течени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3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рабочих дней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 момента поступления в ООО «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Авиценна”.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Письменные и устные обращения граждан регистрируются в «Журнале регистрации обращений граждан» (Приложение №2), либо путем внесения обращения в «Книгу жалоб и предложений», которая находится у Администратора.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6.2. Порядок рассмотрения письменных обращений граждан: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6.2.1.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6.2.2. В случае, если текст письменного обращения не поддается прочтению, ответ на обращение не дается.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6.2.3. В случае, если в письменном многократном обращении гражданина содержится вопрос, на который ему ранее давались письменные ответы, и при этом в обращении не приводятся новые доводы, может быть принято решение о безосновательности очередного обращения и прекращении переписки с гражданином по данному вопросу. О данном решении уведомляется заявитель.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6.2.4. Для составления ответа заявителю проводится служебное расследование в сроки указанные в Положении.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6.3. Порядок регистрации и рассмотрения устных обращений граждан: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6.3.1. Устные обращения подлежат регистрации и обязательному рассмотрению в порядке, установленном для письменных обращений.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6.3.2. В устном обращении гражданин называет свои фамилию, имя, отчество, номер домашнего телефона, почтовый адрес, по которому должен быть направлен ответ или уведомление о переадресации обращения.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>7. Сроки рассмотрения письменных и устных обращений граждан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7.1.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Письменное обращение рассматривается в течение 30 дней со дня регистрации письменного обращения</w:t>
      </w:r>
      <w:r>
        <w:rPr>
          <w:rFonts w:ascii="Times New Roman" w:cs="Times New Roman" w:hAnsi="Times New Roman"/>
          <w:color w:val="000000"/>
          <w:sz w:val="24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lang w:val="en-US"/>
        </w:rPr>
      </w:pPr>
      <w:r>
        <w:fldChar w:fldCharType="begin"/>
      </w:r>
      <w:r>
        <w:instrText xml:space="preserve"> HYPERLINK "https://login.consultant.ru/link/?req=doc&amp;base=LAW&amp;n=314820&amp;dst=12&amp;field=134&amp;date=26.07.2023" </w:instrText>
      </w:r>
      <w:r>
        <w:fldChar w:fldCharType="end"/>
      </w:r>
      <w:r>
        <w:rPr>
          <w:rFonts w:ascii="Times New Roman" w:cs="Times New Roman" w:hAnsi="Times New Roman"/>
          <w:color w:val="000000"/>
          <w:sz w:val="24"/>
          <w:lang w:val="en-US"/>
        </w:rPr>
        <w:t>7</w:t>
      </w:r>
      <w:r>
        <w:rPr>
          <w:rFonts w:ascii="Times New Roman" w:cs="Times New Roman" w:hAnsi="Times New Roman"/>
          <w:color w:val="000000"/>
          <w:sz w:val="24"/>
          <w:lang w:val="en-US"/>
        </w:rPr>
        <w:t xml:space="preserve">.2. </w:t>
      </w:r>
      <w:r>
        <w:rPr>
          <w:rFonts w:ascii="Times New Roman"/>
          <w:color w:val="000000"/>
          <w:sz w:val="24"/>
          <w:rtl w:val="off"/>
          <w:lang w:val="en-US"/>
        </w:rPr>
        <w:t xml:space="preserve">Требования </w:t>
      </w:r>
      <w:r>
        <w:rPr>
          <w:rFonts w:ascii="Times New Roman"/>
          <w:color w:val="000000"/>
          <w:sz w:val="24"/>
          <w:rtl w:val="off"/>
          <w:lang w:val="ru-RU"/>
        </w:rPr>
        <w:t>граждан</w:t>
      </w:r>
      <w:r>
        <w:rPr>
          <w:rFonts w:ascii="Times New Roman"/>
          <w:color w:val="000000"/>
          <w:sz w:val="24"/>
          <w:rtl w:val="off"/>
          <w:lang w:val="en-US"/>
        </w:rPr>
        <w:t xml:space="preserve"> об уменьшении цены за оказанную услугу, о возмещении расходов по устранению недостатков оказанной услуги своими силами или третьими лицами, а также о возврате уплаченной за услугу денежной суммы и возмещении убытков, причиненных в связи с отказом от исполнения договора, предусмотренные </w:t>
      </w:r>
      <w:r>
        <w:fldChar w:fldCharType="begin"/>
      </w:r>
      <w:r>
        <w:instrText xml:space="preserve"> HYPERLINK "https://login.consultant.ru/link/?req=doc&amp;base=LAW&amp;n=433294&amp;dst=100192&amp;field=134&amp;date=26.07.2023" </w:instrText>
      </w:r>
      <w:r>
        <w:fldChar w:fldCharType="separate"/>
      </w:r>
      <w:r>
        <w:rPr>
          <w:rFonts w:ascii="Times New Roman"/>
          <w:color w:val="0000ff"/>
          <w:sz w:val="24"/>
          <w:u w:val="single"/>
          <w:rtl w:val="off"/>
          <w:lang w:val="en-US"/>
        </w:rPr>
        <w:t>пунктом 1 статьи 28</w:t>
      </w:r>
      <w:r>
        <w:fldChar w:fldCharType="end"/>
      </w:r>
      <w:r>
        <w:rPr>
          <w:rFonts w:ascii="Times New Roman"/>
          <w:color w:val="000000"/>
          <w:sz w:val="24"/>
          <w:rtl w:val="off"/>
          <w:lang w:val="en-US"/>
        </w:rPr>
        <w:t xml:space="preserve"> и </w:t>
      </w:r>
      <w:r>
        <w:fldChar w:fldCharType="begin"/>
      </w:r>
      <w:r>
        <w:instrText xml:space="preserve"> HYPERLINK "https://login.consultant.ru/link/?req=doc&amp;base=LAW&amp;n=433294&amp;dst=100210&amp;field=134&amp;date=26.07.2023" </w:instrText>
      </w:r>
      <w:r>
        <w:fldChar w:fldCharType="separate"/>
      </w:r>
      <w:r>
        <w:rPr>
          <w:rFonts w:ascii="Times New Roman"/>
          <w:color w:val="0000ff"/>
          <w:sz w:val="24"/>
          <w:u w:val="single"/>
          <w:rtl w:val="off"/>
          <w:lang w:val="en-US"/>
        </w:rPr>
        <w:t>пунктами 1</w:t>
      </w:r>
      <w:r>
        <w:fldChar w:fldCharType="end"/>
      </w:r>
      <w:r>
        <w:rPr>
          <w:rFonts w:ascii="Times New Roman"/>
          <w:color w:val="000000"/>
          <w:sz w:val="24"/>
          <w:rtl w:val="off"/>
          <w:lang w:val="en-US"/>
        </w:rPr>
        <w:t xml:space="preserve"> и </w:t>
      </w:r>
      <w:r>
        <w:fldChar w:fldCharType="begin"/>
      </w:r>
      <w:r>
        <w:instrText xml:space="preserve"> HYPERLINK "https://login.consultant.ru/link/?req=doc&amp;base=LAW&amp;n=433294&amp;dst=100221&amp;field=134&amp;date=26.07.2023" </w:instrText>
      </w:r>
      <w:r>
        <w:fldChar w:fldCharType="separate"/>
      </w:r>
      <w:r>
        <w:rPr>
          <w:rFonts w:ascii="Times New Roman"/>
          <w:color w:val="0000ff"/>
          <w:sz w:val="24"/>
          <w:u w:val="single"/>
          <w:rtl w:val="off"/>
          <w:lang w:val="en-US"/>
        </w:rPr>
        <w:t>4 статьи 29</w:t>
      </w:r>
      <w:r>
        <w:fldChar w:fldCharType="end"/>
      </w:r>
      <w:r>
        <w:rPr>
          <w:rFonts w:ascii="Times New Roman"/>
          <w:color w:val="000000"/>
          <w:sz w:val="24"/>
          <w:rtl w:val="off"/>
          <w:lang w:val="en-US"/>
        </w:rPr>
        <w:t xml:space="preserve"> Закона “</w:t>
      </w:r>
      <w:r>
        <w:rPr>
          <w:rFonts w:ascii="Times New Roman"/>
          <w:color w:val="000000"/>
          <w:sz w:val="24"/>
          <w:rtl w:val="off"/>
          <w:lang w:val="ru-RU"/>
        </w:rPr>
        <w:t>О защите прав потребителей”</w:t>
      </w:r>
      <w:r>
        <w:rPr>
          <w:rFonts w:ascii="Times New Roman"/>
          <w:color w:val="000000"/>
          <w:sz w:val="24"/>
          <w:rtl w:val="off"/>
          <w:lang w:val="en-US"/>
        </w:rPr>
        <w:t xml:space="preserve">, подлежат удовлетворению в 10-дневный срок со дня предъявления соответствующего требования.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7.3.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Документы по обращениям граждан хранятся в течение пяти лет. По истечении срока хранения документация подлежит уничтожению в установленном порядке.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 w:val="off"/>
          <w:lang w:val="en-US"/>
        </w:rPr>
        <w:t xml:space="preserve">8. Личный прием граждан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8.1. Личный прием граждан проводится в установленные и доведенные до сведения граждан дни и часы приема: сведения находятся на официальном сайте и на информационных стендах в холле ООО «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Авиценна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» ( Приложение №3).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8.2. При личном приеме гражданин предъявляет документ, удостоверяющий его личность.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8.3. В случае, если устное обращение не требует дополнительной проверки, ответ на обращение с согласия гражданина может быть дан устно в ходе личного приема,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 xml:space="preserve">о чем делается отметка в журнале личного приема.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 остальных случаях дается письменный ответ по существу поставленных в обращении вопросов.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8.4. Письменное обращение, принятое в ходе личного приема, подлежит регистрации и рассмотрению в установленном порядке.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8.5. В случае если в обращении содержатся вопросы, решение которых не входит в компетенцию ООО «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Авиценна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», гражданину дается разъяснение, куда и в каком порядке ему следует обратиться.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8.6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8.7. Приказом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 xml:space="preserve">генерального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директора утверждается ответственный за работу с обращениями граждан, в обязанности которого входит непосредственное реагирование на обращение граждан, контроль и анализ обращений, организационные действия.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rPr>
          <w:rFonts w:ascii="Times New Roman" w:cs="Times New Roman" w:hAnsi="Times New Roman"/>
          <w:sz w:val="24"/>
        </w:rPr>
      </w:pPr>
    </w:p>
    <w:p>
      <w:pPr>
        <w:jc w:val="center"/>
        <w:rPr>
          <w:rFonts w:ascii="Times New Roman" w:cs="Times New Roman" w:hAnsi="Times New Roman"/>
          <w:sz w:val="24"/>
        </w:rPr>
      </w:pPr>
    </w:p>
    <w:p>
      <w:pPr>
        <w:tabs>
          <w:tab w:val="left" w:pos="11907"/>
        </w:tabs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tabs>
          <w:tab w:val="left" w:pos="11907"/>
        </w:tabs>
        <w:spacing w:after="0" w:line="240" w:lineRule="auto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Приложение </w:t>
      </w:r>
      <w:r>
        <w:rPr>
          <w:rFonts w:ascii="Times New Roman" w:cs="Times New Roman" w:hAnsi="Times New Roman"/>
          <w:sz w:val="20"/>
          <w:szCs w:val="20"/>
          <w:lang w:val="ru-RU"/>
        </w:rPr>
        <w:t>2</w:t>
      </w:r>
      <w:r>
        <w:rPr>
          <w:rFonts w:ascii="Times New Roman" w:cs="Times New Roman" w:hAnsi="Times New Roman"/>
          <w:sz w:val="20"/>
          <w:szCs w:val="20"/>
        </w:rPr>
        <w:t xml:space="preserve"> к </w:t>
      </w:r>
      <w:r>
        <w:rPr>
          <w:rFonts w:ascii="Times New Roman" w:cs="Times New Roman" w:hAnsi="Times New Roman"/>
          <w:sz w:val="20"/>
          <w:szCs w:val="20"/>
        </w:rPr>
        <w:t>Приказу №____ от</w:t>
      </w:r>
    </w:p>
    <w:p>
      <w:pPr>
        <w:tabs>
          <w:tab w:val="left" w:pos="11907"/>
        </w:tabs>
        <w:spacing w:after="0" w:line="240" w:lineRule="auto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«</w:t>
      </w:r>
      <w:r>
        <w:rPr>
          <w:rFonts w:ascii="Times New Roman" w:cs="Times New Roman" w:hAnsi="Times New Roman"/>
          <w:sz w:val="20"/>
          <w:szCs w:val="20"/>
          <w:lang w:val="ru-RU"/>
        </w:rPr>
        <w:t>26</w:t>
      </w:r>
      <w:r>
        <w:rPr>
          <w:rFonts w:ascii="Times New Roman" w:cs="Times New Roman" w:hAnsi="Times New Roman"/>
          <w:sz w:val="20"/>
          <w:szCs w:val="20"/>
        </w:rPr>
        <w:t xml:space="preserve">» </w:t>
      </w:r>
      <w:r>
        <w:rPr>
          <w:rFonts w:ascii="Times New Roman" w:cs="Times New Roman" w:hAnsi="Times New Roman"/>
          <w:sz w:val="20"/>
          <w:szCs w:val="20"/>
          <w:lang w:val="ru-RU"/>
        </w:rPr>
        <w:t>июля</w:t>
      </w:r>
      <w:r>
        <w:rPr>
          <w:rFonts w:ascii="Times New Roman" w:cs="Times New Roman" w:hAnsi="Times New Roman"/>
          <w:sz w:val="20"/>
          <w:szCs w:val="20"/>
        </w:rPr>
        <w:t xml:space="preserve"> 20</w:t>
      </w:r>
      <w:r>
        <w:rPr>
          <w:rFonts w:ascii="Times New Roman" w:cs="Times New Roman" w:hAnsi="Times New Roman"/>
          <w:sz w:val="20"/>
          <w:szCs w:val="20"/>
        </w:rPr>
        <w:t>2</w:t>
      </w:r>
      <w:r>
        <w:rPr>
          <w:rFonts w:ascii="Times New Roman" w:cs="Times New Roman" w:hAnsi="Times New Roman"/>
          <w:sz w:val="20"/>
          <w:szCs w:val="20"/>
          <w:lang w:val="ru-RU"/>
        </w:rPr>
        <w:t>3</w:t>
      </w:r>
      <w:r>
        <w:rPr>
          <w:rFonts w:ascii="Times New Roman" w:cs="Times New Roman" w:hAnsi="Times New Roman"/>
          <w:sz w:val="20"/>
          <w:szCs w:val="20"/>
        </w:rPr>
        <w:t xml:space="preserve"> г. </w:t>
      </w:r>
    </w:p>
    <w:p>
      <w:pPr>
        <w:tabs>
          <w:tab w:val="left" w:pos="11907"/>
        </w:tabs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tbl>
      <w:tblPr>
        <w:tblpPr w:leftFromText="187" w:rightFromText="187" w:topFromText="0" w:bottomFromText="0" w:vertAnchor="page" w:horzAnchor="page" w:tblpX="579" w:tblpY="4763"/>
        <w:tblOverlap w:val="never"/>
        <w:tblW w:w="1062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654"/>
        <w:gridCol w:w="1683"/>
        <w:gridCol w:w="1455"/>
        <w:gridCol w:w="1076"/>
        <w:gridCol w:w="1271"/>
        <w:gridCol w:w="1492"/>
        <w:gridCol w:w="875"/>
        <w:gridCol w:w="1620"/>
      </w:tblGrid>
      <w:tr>
        <w:trPr>
          <w:cnfStyle w:val="000000100000"/>
          <w:cantSplit w:val="on"/>
          <w:trHeight w:val="480"/>
        </w:trPr>
        <w:tc>
          <w:tcPr>
            <w:cnfStyle w:val="000010100000"/>
            <w:tcW w:w="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№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п\п</w:t>
            </w:r>
          </w:p>
        </w:tc>
        <w:tc>
          <w:tcPr>
            <w:cnfStyle w:val="000001100000"/>
            <w:tcW w:w="654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Входящий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номер  </w:t>
            </w:r>
          </w:p>
        </w:tc>
        <w:tc>
          <w:tcPr>
            <w:cnfStyle w:val="000010100000"/>
            <w:tcW w:w="1683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Ф.И.О. и  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адрес   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заявителя </w:t>
            </w:r>
          </w:p>
        </w:tc>
        <w:tc>
          <w:tcPr>
            <w:cnfStyle w:val="000001100000"/>
            <w:tcW w:w="145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Вид и суть</w:t>
            </w:r>
          </w:p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обращения</w:t>
            </w:r>
          </w:p>
        </w:tc>
        <w:tc>
          <w:tcPr>
            <w:cnfStyle w:val="000010100000"/>
            <w:tcW w:w="1076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Исполнитель  </w:t>
            </w:r>
          </w:p>
        </w:tc>
        <w:tc>
          <w:tcPr>
            <w:cnfStyle w:val="000001100000"/>
            <w:tcW w:w="1271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Повторность</w:t>
            </w:r>
          </w:p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обращения</w:t>
            </w:r>
          </w:p>
        </w:tc>
        <w:tc>
          <w:tcPr>
            <w:cnfStyle w:val="000010100000"/>
            <w:tcW w:w="1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Результат     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рассмотрения </w:t>
            </w:r>
          </w:p>
        </w:tc>
        <w:tc>
          <w:tcPr>
            <w:cnfStyle w:val="000001100000"/>
            <w:tcW w:w="87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Исходящий  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номер ответа</w:t>
            </w:r>
          </w:p>
        </w:tc>
        <w:tc>
          <w:tcPr>
            <w:cnfStyle w:val="000010100000"/>
            <w:tcW w:w="1620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Примечание / 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обоснованность</w:t>
            </w:r>
          </w:p>
          <w:p>
            <w:pPr>
              <w:pStyle w:val="ConsPlusCell"/>
              <w:widowControl w:val="on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жалобы</w:t>
            </w:r>
          </w:p>
        </w:tc>
      </w:tr>
      <w:tr>
        <w:trPr>
          <w:cnfStyle w:val="000000010000"/>
          <w:cantSplit w:val="on"/>
          <w:trHeight w:val="240"/>
        </w:trPr>
        <w:tc>
          <w:tcPr>
            <w:cnfStyle w:val="000010010000"/>
            <w:tcW w:w="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1</w:t>
            </w:r>
          </w:p>
        </w:tc>
        <w:tc>
          <w:tcPr>
            <w:cnfStyle w:val="000001010000"/>
            <w:tcW w:w="654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683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145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076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1271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87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620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cnfStyle w:val="000000100000"/>
          <w:cantSplit w:val="on"/>
          <w:trHeight w:val="240"/>
        </w:trPr>
        <w:tc>
          <w:tcPr>
            <w:cnfStyle w:val="000010100000"/>
            <w:tcW w:w="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</w:t>
            </w:r>
          </w:p>
        </w:tc>
        <w:tc>
          <w:tcPr>
            <w:cnfStyle w:val="000001100000"/>
            <w:tcW w:w="654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683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45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076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271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87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620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cnfStyle w:val="000000010000"/>
          <w:cantSplit w:val="on"/>
          <w:trHeight w:val="240"/>
        </w:trPr>
        <w:tc>
          <w:tcPr>
            <w:cnfStyle w:val="000010010000"/>
            <w:tcW w:w="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...</w:t>
            </w:r>
          </w:p>
        </w:tc>
        <w:tc>
          <w:tcPr>
            <w:cnfStyle w:val="000001010000"/>
            <w:tcW w:w="654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10010000"/>
            <w:tcW w:w="1683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01010000"/>
            <w:tcW w:w="145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10010000"/>
            <w:tcW w:w="1076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01010000"/>
            <w:tcW w:w="1271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10010000"/>
            <w:tcW w:w="1492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01010000"/>
            <w:tcW w:w="875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10010000"/>
            <w:tcW w:w="1620" w:type="dxa"/>
          </w:tcPr>
          <w:p>
            <w:pPr>
              <w:pStyle w:val="ConsPlusCell"/>
              <w:widowControl w:val="on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</w:tbl>
    <w:p>
      <w:pPr>
        <w:tabs>
          <w:tab w:val="left" w:pos="11907"/>
        </w:tabs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Форма </w:t>
      </w:r>
      <w:r>
        <w:rPr>
          <w:rFonts w:ascii="Times New Roman" w:cs="Times New Roman" w:hAnsi="Times New Roman"/>
          <w:b/>
          <w:sz w:val="24"/>
          <w:szCs w:val="24"/>
        </w:rPr>
        <w:t>«ЖУРНАЛ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РЕГИСТРАЦИИ ОБРАЩЕНИЙ ГРАЖДАН»</w:t>
      </w:r>
    </w:p>
    <w:p>
      <w:pPr>
        <w:spacing w:after="0" w:line="240" w:lineRule="auto"/>
        <w:jc w:val="center"/>
        <w:rPr>
          <w:rFonts w:ascii="Times New Roman" w:cs="Times New Roman" w:hAnsi="Times New Roman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4"/>
        </w:rPr>
      </w:pPr>
    </w:p>
    <w:p>
      <w:pPr>
        <w:jc w:val="center"/>
        <w:rPr>
          <w:rFonts w:ascii="Times New Roman" w:cs="Times New Roman" w:hAnsi="Times New Roman"/>
          <w:sz w:val="24"/>
        </w:rPr>
      </w:pPr>
    </w:p>
    <w:p>
      <w:pPr>
        <w:tabs>
          <w:tab w:val="left" w:pos="11907"/>
        </w:tabs>
        <w:spacing w:after="0" w:line="240" w:lineRule="auto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Приложение </w:t>
      </w:r>
      <w:r>
        <w:rPr>
          <w:rFonts w:ascii="Times New Roman" w:cs="Times New Roman" w:hAnsi="Times New Roman"/>
          <w:sz w:val="20"/>
          <w:szCs w:val="20"/>
          <w:lang w:val="ru-RU"/>
        </w:rPr>
        <w:t>3</w:t>
      </w:r>
      <w:r>
        <w:rPr>
          <w:rFonts w:ascii="Times New Roman" w:cs="Times New Roman" w:hAnsi="Times New Roman"/>
          <w:sz w:val="20"/>
          <w:szCs w:val="20"/>
        </w:rPr>
        <w:t xml:space="preserve"> к </w:t>
      </w:r>
      <w:r>
        <w:rPr>
          <w:rFonts w:ascii="Times New Roman" w:cs="Times New Roman" w:hAnsi="Times New Roman"/>
          <w:sz w:val="20"/>
          <w:szCs w:val="20"/>
        </w:rPr>
        <w:t>Приказу №____ от</w:t>
      </w:r>
    </w:p>
    <w:p>
      <w:pPr>
        <w:tabs>
          <w:tab w:val="left" w:pos="11907"/>
        </w:tabs>
        <w:spacing w:after="0" w:line="240" w:lineRule="auto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«</w:t>
      </w:r>
      <w:r>
        <w:rPr>
          <w:rFonts w:ascii="Times New Roman" w:cs="Times New Roman" w:hAnsi="Times New Roman"/>
          <w:sz w:val="20"/>
          <w:szCs w:val="20"/>
          <w:lang w:val="ru-RU"/>
        </w:rPr>
        <w:t>26</w:t>
      </w:r>
      <w:r>
        <w:rPr>
          <w:rFonts w:ascii="Times New Roman" w:cs="Times New Roman" w:hAnsi="Times New Roman"/>
          <w:sz w:val="20"/>
          <w:szCs w:val="20"/>
        </w:rPr>
        <w:t xml:space="preserve">» </w:t>
      </w:r>
      <w:r>
        <w:rPr>
          <w:rFonts w:ascii="Times New Roman" w:cs="Times New Roman" w:hAnsi="Times New Roman"/>
          <w:sz w:val="20"/>
          <w:szCs w:val="20"/>
          <w:lang w:val="ru-RU"/>
        </w:rPr>
        <w:t>июля</w:t>
      </w:r>
      <w:r>
        <w:rPr>
          <w:rFonts w:ascii="Times New Roman" w:cs="Times New Roman" w:hAnsi="Times New Roman"/>
          <w:sz w:val="20"/>
          <w:szCs w:val="20"/>
        </w:rPr>
        <w:t xml:space="preserve"> 20</w:t>
      </w:r>
      <w:r>
        <w:rPr>
          <w:rFonts w:ascii="Times New Roman" w:cs="Times New Roman" w:hAnsi="Times New Roman"/>
          <w:sz w:val="20"/>
          <w:szCs w:val="20"/>
        </w:rPr>
        <w:t>2</w:t>
      </w:r>
      <w:r>
        <w:rPr>
          <w:rFonts w:ascii="Times New Roman" w:cs="Times New Roman" w:hAnsi="Times New Roman"/>
          <w:sz w:val="20"/>
          <w:szCs w:val="20"/>
          <w:lang w:val="ru-RU"/>
        </w:rPr>
        <w:t>3</w:t>
      </w:r>
      <w:r>
        <w:rPr>
          <w:rFonts w:ascii="Times New Roman" w:cs="Times New Roman" w:hAnsi="Times New Roman"/>
          <w:sz w:val="20"/>
          <w:szCs w:val="20"/>
        </w:rPr>
        <w:t xml:space="preserve"> г. </w:t>
      </w:r>
    </w:p>
    <w:p>
      <w:pPr>
        <w:jc w:val="center"/>
        <w:rPr>
          <w:rFonts w:ascii="Times New Roman" w:cs="Times New Roman" w:hAnsi="Times New Roman"/>
          <w:sz w:val="24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Генеральный директор Дашиева Юлия Гуроевна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Часы приёма: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Филиал г. Улан-Удэ, ул. Комсомольская, д. 4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Среда  с 10.00 до 12.00 часов, по предварительной записи по тел. 303-203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Главный врач Бабуева Валентина Кимовна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Часы приёма 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Филиал с. Иволгинск, квартал Студенческий, д. 8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Вторник с 10.00 до 12.00, по предварительной записи по тел. 311-611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 xml:space="preserve">Записаться на прием можно следующими способами: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Позвонив по телефонам: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311-611 (филиал с. Иволгинск)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303-203 (филиал г. Улан-Удэ)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6f6f6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231f20"/>
          <w:sz w:val="24"/>
          <w:lang w:val="en-US"/>
        </w:rPr>
      </w:pPr>
      <w:r>
        <w:rPr>
          <w:rFonts w:ascii="Times New Roman" w:cs="Times New Roman" w:hAnsi="Times New Roman"/>
          <w:color w:val="231f20"/>
          <w:sz w:val="24"/>
          <w:rtl w:val="off"/>
          <w:lang w:val="en-US"/>
        </w:rPr>
        <w:t>Оставить заявку на сайте МЦ "Авиценна".</w:t>
      </w:r>
    </w:p>
    <w:p>
      <w:pPr>
        <w:jc w:val="center"/>
        <w:rPr>
          <w:rFonts w:ascii="Times New Roman" w:cs="Times New Roman" w:hAnsi="Times New Roman"/>
          <w:sz w:val="24"/>
        </w:rPr>
      </w:pPr>
    </w:p>
    <w:sectPr>
      <w:footnotePr/>
      <w:type w:val="nextPage"/>
      <w:pgSz w:w="11906" w:h="16838" w:orient="portrait"/>
      <w:pgMar w:top="1134" w:right="567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1.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Cell">
    <w:name w:val="ConsPlusCell"/>
    <w:uiPriority w:val="99"/>
    <w:pPr>
      <w:widowControl w:val="off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</cp:coreProperties>
</file>